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188" w:after="188" w:line="240" w:lineRule="auto"/>
        <w:ind w:left="0" w:right="0"/>
        <w:jc w:val="left"/>
        <w:outlineLvl w:val="0"/>
      </w:pPr>
      <w:r>
        <w:rPr>
          <w:rFonts w:ascii="Arial" w:hAnsi="Arial" w:eastAsia="Arial" w:cs="Arial"/>
          <w:b/>
          <w:bCs/>
          <w:color w:val="000000"/>
          <w:sz w:val="28"/>
          <w:szCs w:val="28"/>
        </w:rPr>
        <w:t xml:space="preserve">Betriebsvereinbarung zum Thema Schulungen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Zwischen der Firma […]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und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dem Betriebsrat der Firma […]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wird folgende Betriebsvereinbarung geschlossen:</w:t>
      </w:r>
    </w:p>
    <w:p>
      <w:pPr>
        <w:widowControl w:val="on"/>
        <w:pBdr/>
        <w:spacing w:before="216" w:after="216" w:line="240" w:lineRule="auto"/>
        <w:ind w:left="0" w:right="0"/>
        <w:jc w:val="left"/>
        <w:outlineLvl w:val="1"/>
      </w:pPr>
      <w:r>
        <w:rPr>
          <w:rFonts w:ascii="Arial" w:hAnsi="Arial" w:eastAsia="Arial" w:cs="Arial"/>
          <w:b/>
          <w:bCs/>
          <w:color w:val="000000"/>
          <w:sz w:val="26"/>
          <w:szCs w:val="26"/>
        </w:rPr>
        <w:t xml:space="preserve">Präambel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Ständige Veränderungen - durch neue Technik, Arbeitsmethoden gesetzliche Bestimmungen - erfordern kontinuierliche Weiterbildung.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Qualifizierte Mitarbeiter schaffen Arbeitsqualität und sind motivierter. Ziele dieser bedarfsgerechten Weiterbildung sind qualifiziertere Mitarbeiter und Kundenzufriedenheit durch effiziente und ergebnissichere Arbeitsabläufe.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Anliegen dieser Betriebsvereinbarung ist eine Weiterbildungsplanung für alle Mitarbeiter und eine bessere Planung der Betriebsabläufe. Ferner soll sichergestellt werden, dass das Schulungskonzept, die Schulungshinweise im Service-Organisation (HSO) und die Prüfkriterien nach DIN/ISO 9002 (Lfd.Nr.2.25 bis 2.30) Anwendung finden.</w:t>
      </w:r>
    </w:p>
    <w:p>
      <w:pPr>
        <w:widowControl w:val="on"/>
        <w:pBdr/>
        <w:spacing w:before="216" w:after="216" w:line="240" w:lineRule="auto"/>
        <w:ind w:left="0" w:right="0"/>
        <w:jc w:val="left"/>
        <w:outlineLvl w:val="1"/>
      </w:pPr>
      <w:r>
        <w:rPr>
          <w:rFonts w:ascii="Arial" w:hAnsi="Arial" w:eastAsia="Arial" w:cs="Arial"/>
          <w:b/>
          <w:bCs/>
          <w:color w:val="000000"/>
          <w:sz w:val="26"/>
          <w:szCs w:val="26"/>
        </w:rPr>
        <w:t xml:space="preserve">1. Geltungsbereich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Alle Mitarbeiter des […]-Betriebes</w:t>
      </w:r>
    </w:p>
    <w:p>
      <w:pPr>
        <w:widowControl w:val="on"/>
        <w:pBdr/>
        <w:spacing w:before="216" w:after="216" w:line="240" w:lineRule="auto"/>
        <w:ind w:left="0" w:right="0"/>
        <w:jc w:val="left"/>
        <w:outlineLvl w:val="1"/>
      </w:pPr>
      <w:r>
        <w:rPr>
          <w:rFonts w:ascii="Arial" w:hAnsi="Arial" w:eastAsia="Arial" w:cs="Arial"/>
          <w:b/>
          <w:bCs/>
          <w:color w:val="000000"/>
          <w:sz w:val="26"/>
          <w:szCs w:val="26"/>
        </w:rPr>
        <w:t xml:space="preserve">2. Grundsätze</w:t>
      </w:r>
    </w:p>
    <w:p>
      <w:pPr>
        <w:widowControl w:val="on"/>
        <w:pBdr/>
        <w:spacing w:before="240" w:after="240" w:line="240" w:lineRule="auto"/>
        <w:ind w:left="0" w:right="0"/>
        <w:jc w:val="left"/>
        <w:outlineLvl w:val="2"/>
      </w:pPr>
      <w:r>
        <w:rPr>
          <w:rFonts w:ascii="Arial" w:hAnsi="Arial" w:eastAsia="Arial" w:cs="Arial"/>
          <w:b/>
          <w:bCs/>
          <w:color w:val="000000"/>
          <w:sz w:val="24"/>
          <w:szCs w:val="24"/>
        </w:rPr>
        <w:t xml:space="preserve">2.1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Das Mitbestimmungsrecht des BR ist nach § 98 BetrVG gegeben.</w:t>
      </w:r>
    </w:p>
    <w:p>
      <w:pPr>
        <w:widowControl w:val="on"/>
        <w:pBdr/>
        <w:spacing w:before="240" w:after="240" w:line="240" w:lineRule="auto"/>
        <w:ind w:left="0" w:right="0"/>
        <w:jc w:val="left"/>
        <w:outlineLvl w:val="2"/>
      </w:pPr>
      <w:r>
        <w:rPr>
          <w:rFonts w:ascii="Arial" w:hAnsi="Arial" w:eastAsia="Arial" w:cs="Arial"/>
          <w:b/>
          <w:bCs/>
          <w:color w:val="000000"/>
          <w:sz w:val="24"/>
          <w:szCs w:val="24"/>
        </w:rPr>
        <w:t xml:space="preserve">2.2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Allen Mitarbeitern wird das Schulungsangebot zu Kenntnis z. B. durch Aushang oder Infoblatt.</w:t>
      </w:r>
    </w:p>
    <w:p>
      <w:pPr>
        <w:widowControl w:val="on"/>
        <w:pBdr/>
        <w:spacing w:before="240" w:after="240" w:line="240" w:lineRule="auto"/>
        <w:ind w:left="0" w:right="0"/>
        <w:jc w:val="left"/>
        <w:outlineLvl w:val="2"/>
      </w:pPr>
      <w:r>
        <w:rPr>
          <w:rFonts w:ascii="Arial" w:hAnsi="Arial" w:eastAsia="Arial" w:cs="Arial"/>
          <w:b/>
          <w:bCs/>
          <w:color w:val="000000"/>
          <w:sz w:val="24"/>
          <w:szCs w:val="24"/>
        </w:rPr>
        <w:t xml:space="preserve">2.3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Arbeitgeber und Betriebsrat legen halbjährlich den Schulungsbedarf die Teilnehmer fest.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Die Schulungsbedarfsplanung wird den Mitarbeitern zur Kenntnis gebracht.</w:t>
      </w:r>
    </w:p>
    <w:p>
      <w:pPr>
        <w:widowControl w:val="on"/>
        <w:pBdr/>
        <w:spacing w:before="240" w:after="240" w:line="240" w:lineRule="auto"/>
        <w:ind w:left="0" w:right="0"/>
        <w:jc w:val="left"/>
        <w:outlineLvl w:val="2"/>
      </w:pPr>
      <w:r>
        <w:rPr>
          <w:rFonts w:ascii="Arial" w:hAnsi="Arial" w:eastAsia="Arial" w:cs="Arial"/>
          <w:b/>
          <w:bCs/>
          <w:color w:val="000000"/>
          <w:sz w:val="24"/>
          <w:szCs w:val="24"/>
        </w:rPr>
        <w:t xml:space="preserve">2.4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Der Schulungsstand der Mitarbeiter wird aufgezeichnet. Für Mitarbeiter wird ein Schulungspass geführt, in dem die besuchten Schulungsmaßnahmen aufgeführt sind.</w:t>
      </w:r>
    </w:p>
    <w:p>
      <w:pPr>
        <w:widowControl w:val="on"/>
        <w:pBdr/>
        <w:spacing w:before="240" w:after="240" w:line="240" w:lineRule="auto"/>
        <w:ind w:left="0" w:right="0"/>
        <w:jc w:val="left"/>
        <w:outlineLvl w:val="2"/>
      </w:pPr>
      <w:r>
        <w:rPr>
          <w:rFonts w:ascii="Arial" w:hAnsi="Arial" w:eastAsia="Arial" w:cs="Arial"/>
          <w:b/>
          <w:bCs/>
          <w:color w:val="000000"/>
          <w:sz w:val="24"/>
          <w:szCs w:val="24"/>
        </w:rPr>
        <w:t xml:space="preserve">2.5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Schulungszeit ist Arbeitszeit.</w:t>
      </w:r>
    </w:p>
    <w:p>
      <w:pPr>
        <w:widowControl w:val="on"/>
        <w:pBdr/>
        <w:spacing w:before="216" w:after="216" w:line="240" w:lineRule="auto"/>
        <w:ind w:left="0" w:right="0"/>
        <w:jc w:val="left"/>
        <w:outlineLvl w:val="1"/>
      </w:pPr>
      <w:r>
        <w:rPr>
          <w:rFonts w:ascii="Arial" w:hAnsi="Arial" w:eastAsia="Arial" w:cs="Arial"/>
          <w:b/>
          <w:bCs/>
          <w:color w:val="000000"/>
          <w:sz w:val="26"/>
          <w:szCs w:val="26"/>
        </w:rPr>
        <w:t xml:space="preserve">3. Auswahl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Werkstattleiter/Schulungsverantwortliche oder Betriebsrat können Vorschläge zu Schulungsmaßnahmen und Teilnehmer machen. Ein Selbstnennung des Mitarbeiters/Mitarbeiterin ist nur über Werkstattleiter/ Schulungsverantwortlichen oder Betriebsrat möglich. Die Teilnahme an Schulungsmaßnahmen ist grundsätzlich freiwillig.</w:t>
      </w:r>
    </w:p>
    <w:p>
      <w:pPr>
        <w:widowControl w:val="on"/>
        <w:pBdr/>
        <w:spacing w:before="216" w:after="216" w:line="240" w:lineRule="auto"/>
        <w:ind w:left="0" w:right="0"/>
        <w:jc w:val="left"/>
        <w:outlineLvl w:val="1"/>
      </w:pPr>
      <w:r>
        <w:rPr>
          <w:rFonts w:ascii="Arial" w:hAnsi="Arial" w:eastAsia="Arial" w:cs="Arial"/>
          <w:b/>
          <w:bCs/>
          <w:color w:val="000000"/>
          <w:sz w:val="26"/>
          <w:szCs w:val="26"/>
        </w:rPr>
        <w:t xml:space="preserve">4. Durchführung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Fahrtkosten und Unterbringung erfolgen zu Lasten des Arbeitgebers. Während der Schulungsmaßnahme wird das Arbeitsentgelt (Lohn/Gehalt) weitergezahlt.</w:t>
      </w:r>
    </w:p>
    <w:p>
      <w:pPr>
        <w:widowControl w:val="on"/>
        <w:pBdr/>
        <w:spacing w:before="216" w:after="216" w:line="240" w:lineRule="auto"/>
        <w:ind w:left="0" w:right="0"/>
        <w:jc w:val="left"/>
        <w:outlineLvl w:val="1"/>
      </w:pPr>
      <w:r>
        <w:rPr>
          <w:rFonts w:ascii="Arial" w:hAnsi="Arial" w:eastAsia="Arial" w:cs="Arial"/>
          <w:b/>
          <w:bCs/>
          <w:color w:val="000000"/>
          <w:sz w:val="26"/>
          <w:szCs w:val="26"/>
        </w:rPr>
        <w:t xml:space="preserve">5. Mitarbeitereinsatz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Geschulte Mitarbeiter sollten entsprechend ihrer erreichten Qualifikation im Betrieb eingesetzt werden (Praxisbezug).</w:t>
      </w:r>
    </w:p>
    <w:p>
      <w:pPr>
        <w:widowControl w:val="on"/>
        <w:pBdr/>
        <w:spacing w:before="216" w:after="216" w:line="240" w:lineRule="auto"/>
        <w:ind w:left="0" w:right="0"/>
        <w:jc w:val="left"/>
        <w:outlineLvl w:val="1"/>
      </w:pPr>
      <w:r>
        <w:rPr>
          <w:rFonts w:ascii="Arial" w:hAnsi="Arial" w:eastAsia="Arial" w:cs="Arial"/>
          <w:b/>
          <w:bCs/>
          <w:color w:val="000000"/>
          <w:sz w:val="26"/>
          <w:szCs w:val="26"/>
        </w:rPr>
        <w:t xml:space="preserve">6. Schlussbestimmung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Bei Streitigkeiten entscheidet die Einigungsstelle nach § 76 BetrVG.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Die BV tritt am […] in Kraft. Sie kann mit einer Frist von 3 zum Jahresende gekündigt werden. Bis eine neue BV vereinbart ist, bleibt alte in Kraft.</w:t>
      </w:r>
    </w:p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0446303">
    <w:multiLevelType w:val="hybridMultilevel"/>
    <w:lvl w:ilvl="0" w:tplc="25666857">
      <w:start w:val="1"/>
      <w:numFmt w:val="decimal"/>
      <w:lvlText w:val="%1."/>
      <w:lvlJc w:val="left"/>
      <w:pPr>
        <w:ind w:left="720" w:hanging="360"/>
      </w:pPr>
    </w:lvl>
    <w:lvl w:ilvl="1" w:tplc="25666857" w:tentative="1">
      <w:start w:val="1"/>
      <w:numFmt w:val="lowerLetter"/>
      <w:lvlText w:val="%2."/>
      <w:lvlJc w:val="left"/>
      <w:pPr>
        <w:ind w:left="1440" w:hanging="360"/>
      </w:pPr>
    </w:lvl>
    <w:lvl w:ilvl="2" w:tplc="25666857" w:tentative="1">
      <w:start w:val="1"/>
      <w:numFmt w:val="lowerRoman"/>
      <w:lvlText w:val="%3."/>
      <w:lvlJc w:val="right"/>
      <w:pPr>
        <w:ind w:left="2160" w:hanging="180"/>
      </w:pPr>
    </w:lvl>
    <w:lvl w:ilvl="3" w:tplc="25666857" w:tentative="1">
      <w:start w:val="1"/>
      <w:numFmt w:val="decimal"/>
      <w:lvlText w:val="%4."/>
      <w:lvlJc w:val="left"/>
      <w:pPr>
        <w:ind w:left="2880" w:hanging="360"/>
      </w:pPr>
    </w:lvl>
    <w:lvl w:ilvl="4" w:tplc="25666857" w:tentative="1">
      <w:start w:val="1"/>
      <w:numFmt w:val="lowerLetter"/>
      <w:lvlText w:val="%5."/>
      <w:lvlJc w:val="left"/>
      <w:pPr>
        <w:ind w:left="3600" w:hanging="360"/>
      </w:pPr>
    </w:lvl>
    <w:lvl w:ilvl="5" w:tplc="25666857" w:tentative="1">
      <w:start w:val="1"/>
      <w:numFmt w:val="lowerRoman"/>
      <w:lvlText w:val="%6."/>
      <w:lvlJc w:val="right"/>
      <w:pPr>
        <w:ind w:left="4320" w:hanging="180"/>
      </w:pPr>
    </w:lvl>
    <w:lvl w:ilvl="6" w:tplc="25666857" w:tentative="1">
      <w:start w:val="1"/>
      <w:numFmt w:val="decimal"/>
      <w:lvlText w:val="%7."/>
      <w:lvlJc w:val="left"/>
      <w:pPr>
        <w:ind w:left="5040" w:hanging="360"/>
      </w:pPr>
    </w:lvl>
    <w:lvl w:ilvl="7" w:tplc="25666857" w:tentative="1">
      <w:start w:val="1"/>
      <w:numFmt w:val="lowerLetter"/>
      <w:lvlText w:val="%8."/>
      <w:lvlJc w:val="left"/>
      <w:pPr>
        <w:ind w:left="5760" w:hanging="360"/>
      </w:pPr>
    </w:lvl>
    <w:lvl w:ilvl="8" w:tplc="25666857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46302">
    <w:multiLevelType w:val="hybridMultilevel"/>
    <w:lvl w:ilvl="0" w:tplc="5624594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10446302">
    <w:abstractNumId w:val="10446302"/>
  </w:num>
  <w:num w:numId="10446303">
    <w:abstractNumId w:val="1044630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
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Relationship Id="rId10" Type="http://schemas.openxmlformats.org/officeDocument/2006/relationships/comments" Target="comments.xml"/>
</Relationships>

</file>

<file path=word/_rels/endnotes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