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188" w:after="188" w:line="240" w:lineRule="auto"/>
        <w:ind w:left="0" w:right="0"/>
        <w:jc w:val="left"/>
        <w:outlineLvl w:val="0"/>
      </w:pPr>
      <w:r>
        <w:rPr>
          <w:rFonts w:ascii="Arial" w:hAnsi="Arial" w:eastAsia="Arial" w:cs="Arial"/>
          <w:b/>
          <w:bCs/>
          <w:color w:val="000000"/>
          <w:sz w:val="28"/>
          <w:szCs w:val="28"/>
        </w:rPr>
        <w:t xml:space="preserve">Checkliste: Regelungspunkte einer Betriebsvereinbarung zur Gleitzeit</w:t>
      </w:r>
    </w:p>
    <w:tbl>
      <w:tblPr>
        <w:tblStyle w:val="NormalTablePHPDOCX"/>
        <w:tblW w:w="5000" w:type="pct"/>
        <w:tblInd w:w="0" w:type="auto"/>
        <w:tblBorders/>
      </w:tblPr>
      <w:tblGrid>
        <w:gridCol/>
      </w:tblGrid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Aufgaben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Was ist zu tun?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Erledigt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Grundsätzliches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Ist im Betrieb ein gültiger Tarifvertrag, der die Verteilung der Arbeitszeit flexibel regelt, hat nach § 87 Abs. 1 BetrVG der Betriebsrat kein Mitbestimmungsrecht mehr. Eine abweichende Betriebsvereinbarung vom Tarifvertrag wird ebenso ungültig (Kittner/Zwanziger, Arbeitsrecht – Praxishandbuch § 18 Rn. 69f.)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Gültigkeit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Alle Beschäftigten der Firma mit Ausnahme von bestimmten Personenkreisen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Definition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Beschäftigten können selbst ihren Arbeitsbeginn und ihr Arbeitsende festlegen unter Beachtung des täglichen Zeitfensters und der Gleitzeitspanne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Inhalt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Keine Überschreitung der täglichen HöchstArbeitszeit und Erfüllung der täglichen und monatlichen Haupt-/SollArbeitszeit; Übertrag der Überstunden in den nächsten Monat ist grundsätzlich möglich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Bestimmung des täglichen Zeitrahmens für die Gleitzeit (RahmenArbeitszeit) (BAG v. 29.04.04 – 1 ABR 30/02, NZA 2004, 670)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Nach § 3 Satz 2 ArbZG darf die Dauer der täglichen individuellen HöchstArbeitszeit von 10 Stunden nicht überschritten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Tägliche SollArbeitszeit 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der KernArbeitszeitspanne festlegen (Arbeits- bzw. Anwesenheitspflicht) oder MindestArbeitszeit 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Dauer der täglichen Gleitzeitspanne und Grenzen für Gleitzeitguthaben/Gleitzeitschulden bestimmen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Möglichkeiten für den Ausgleich festlegen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Unterrichtung des BR über Gleitzeitguthaben/-schulden der einzelnen Mitarbeiter, auch bei Überschreitung der festgelegten Höchstgrenze des Gleitzeitguthabens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Die Mitarbeiter haben das Recht, ihr Gleitzeitguthaben während der HauptArbeitszeit abzubauen (Ausgleichszeitraum, Langzeitkonto?)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Unterscheidung zwischen Gleitzeit und zustimmungs-/ zuschlagspflichtiger Mehrarbeit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Ruhepausen nutzen, weil keine Gutschriften erfolgen können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Umgang mit tariflichen Regelungen bei bezahlter Freistellung (Abwesenheit)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Dienstreisen wird die tägliche SollArbeitszeit gutgeschrieben; bei Arbeitszeiten mit bis zu 10 Stunden kann ein Antrag auf Zeitgutschrift gestellt werden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Mitarbeiter müssen Zeiterfassungsgeräte nutzen, festhalten der Überstunden nach § 16 Abs. 2 ArbZG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Spezielle Regelungen bei Teilzeitbeschäftigten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Bei Differenzen erfolgt die Beratung in einer paritätischen Kommission, bei keiner Einigung Entscheidung der Einigungsstelle nach §§ 76 Abs. 5, 87 Abs. 2 BetrVG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  <w:tr>
        <w:trPr>
          <w:cantSplit/>
          <w:trHeight w:val="0" w:hRule="atLeast"/>
        </w:trPr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b/>
                <w:bCs/>
                <w:color w:val="000000"/>
                <w:position w:val="-3"/>
                <w:sz w:val="22"/>
                <w:szCs w:val="22"/>
              </w:rPr>
              <w:t xml:space="preserve">Schluss-bestimmungen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ascii="Arial" w:hAnsi="Arial" w:eastAsia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Laufzeit der Betriebsvereinbarung, Kündigung und deren Fristen, In-Kraft-Treten, Ausschluss der Nachwirkung</w:t>
            </w:r>
          </w:p>
        </w:tc>
        <w:tc>
          <w:tcPr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tcMar>
              <w:top w:w="15" w:type="dxa"/>
              <w:bottom w:w="15" w:type="dxa"/>
            </w:tcMar>
            <w:vAlign w:val="center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Arial" w:hAnsi="Arial" w:eastAsia="Arial" w:cs="Arial"/>
                <w:color w:val="000000"/>
                <w:position w:val="-3"/>
                <w:sz w:val="22"/>
                <w:szCs w:val="22"/>
              </w:rPr>
              <w:t xml:space="preserve">❏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218190">
    <w:multiLevelType w:val="hybridMultilevel"/>
    <w:lvl w:ilvl="0" w:tplc="57134422">
      <w:start w:val="1"/>
      <w:numFmt w:val="decimal"/>
      <w:lvlText w:val="%1."/>
      <w:lvlJc w:val="left"/>
      <w:pPr>
        <w:ind w:left="720" w:hanging="360"/>
      </w:pPr>
    </w:lvl>
    <w:lvl w:ilvl="1" w:tplc="57134422" w:tentative="1">
      <w:start w:val="1"/>
      <w:numFmt w:val="lowerLetter"/>
      <w:lvlText w:val="%2."/>
      <w:lvlJc w:val="left"/>
      <w:pPr>
        <w:ind w:left="1440" w:hanging="360"/>
      </w:pPr>
    </w:lvl>
    <w:lvl w:ilvl="2" w:tplc="57134422" w:tentative="1">
      <w:start w:val="1"/>
      <w:numFmt w:val="lowerRoman"/>
      <w:lvlText w:val="%3."/>
      <w:lvlJc w:val="right"/>
      <w:pPr>
        <w:ind w:left="2160" w:hanging="180"/>
      </w:pPr>
    </w:lvl>
    <w:lvl w:ilvl="3" w:tplc="57134422" w:tentative="1">
      <w:start w:val="1"/>
      <w:numFmt w:val="decimal"/>
      <w:lvlText w:val="%4."/>
      <w:lvlJc w:val="left"/>
      <w:pPr>
        <w:ind w:left="2880" w:hanging="360"/>
      </w:pPr>
    </w:lvl>
    <w:lvl w:ilvl="4" w:tplc="57134422" w:tentative="1">
      <w:start w:val="1"/>
      <w:numFmt w:val="lowerLetter"/>
      <w:lvlText w:val="%5."/>
      <w:lvlJc w:val="left"/>
      <w:pPr>
        <w:ind w:left="3600" w:hanging="360"/>
      </w:pPr>
    </w:lvl>
    <w:lvl w:ilvl="5" w:tplc="57134422" w:tentative="1">
      <w:start w:val="1"/>
      <w:numFmt w:val="lowerRoman"/>
      <w:lvlText w:val="%6."/>
      <w:lvlJc w:val="right"/>
      <w:pPr>
        <w:ind w:left="4320" w:hanging="180"/>
      </w:pPr>
    </w:lvl>
    <w:lvl w:ilvl="6" w:tplc="57134422" w:tentative="1">
      <w:start w:val="1"/>
      <w:numFmt w:val="decimal"/>
      <w:lvlText w:val="%7."/>
      <w:lvlJc w:val="left"/>
      <w:pPr>
        <w:ind w:left="5040" w:hanging="360"/>
      </w:pPr>
    </w:lvl>
    <w:lvl w:ilvl="7" w:tplc="57134422" w:tentative="1">
      <w:start w:val="1"/>
      <w:numFmt w:val="lowerLetter"/>
      <w:lvlText w:val="%8."/>
      <w:lvlJc w:val="left"/>
      <w:pPr>
        <w:ind w:left="5760" w:hanging="360"/>
      </w:pPr>
    </w:lvl>
    <w:lvl w:ilvl="8" w:tplc="571344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18189">
    <w:multiLevelType w:val="hybridMultilevel"/>
    <w:lvl w:ilvl="0" w:tplc="1723668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2218189">
    <w:abstractNumId w:val="22218189"/>
  </w:num>
  <w:num w:numId="22218190">
    <w:abstractNumId w:val="222181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