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Checkliste: Einstellungsgespräch - Offenbarungspflicht des Arbeitnehmers</w:t>
      </w:r>
    </w:p>
    <w:tbl>
      <w:tblPr>
        <w:tblStyle w:val="NormalTablePHPDOCX"/>
        <w:tblW w:w="5000" w:type="pct"/>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Grundsätzlich</w:t>
            </w:r>
          </w:p>
        </w:tc>
        <w:tc>
          <w:tcPr>
            <w:tcBorders>
              <w:top w:val="single" w:color="000000" w:sz="5"/>
              <w:left w:val="single" w:color="000000" w:sz="5"/>
              <w:bottom w:val="single" w:color="000000" w:sz="5"/>
              <w:right w:val="single" w:color="000000" w:sz="5"/>
            </w:tcBorders>
            <w:tcMar>
              <w:top w:w="15" w:type="dxa"/>
              <w:bottom w:w="15" w:type="dxa"/>
            </w:tcMar>
            <w:vAlign w:val="center"/>
          </w:tcPr>
          <w:p>
            <w:pPr>
              <w:keepLines w:val="on"/>
              <w:widowControl w:val="on"/>
              <w:pBdr/>
              <w:spacing w:before="220" w:after="220" w:line="240" w:lineRule="auto"/>
              <w:ind w:left="0" w:right="0"/>
              <w:jc w:val="left"/>
              <w:textAlignment w:val="center"/>
            </w:pPr>
            <w:r>
              <w:rPr>
                <w:rFonts w:ascii="Arial" w:hAnsi="Arial" w:eastAsia="Arial" w:cs="Arial"/>
                <w:color w:val="000000"/>
                <w:position w:val="-3"/>
                <w:sz w:val="22"/>
                <w:szCs w:val="22"/>
              </w:rPr>
              <w:t xml:space="preserve">Die Pflicht zur Offenbarung bedeutet, dass der Arbeitnehmer Umstände mitteilen muss, ohne dass der Arbeitgeber danach fragt. Eine derartige Offenbarungspflicht besteht nur, wenn die fraglichen Umstände dem Arbeitnehmer die Erfüllung der Arbeitsvertraglichen Leistungspflicht unmöglich machen oder aus anderen Gründen für den Arbeitsplatz von ausschlAGGebender Bedeutung sind.</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HIV-Infektion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Eine Offenbarungspflicht besteht nicht. Menschen mit HIV sind durch die erfolgreiche HIV Behandlung leistungsfähig und haben eine normale Lebenserwartung. Eine Ansteckungsgefahr im Arbeitsalltag besteht nicht.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Gesundheitszustand</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nur erforderlich hinsichtlich Erkrankungen, die den Arbeitnehmer wegen Ansteckungsgefahr oder Schwere der Krankheit dauerhaft an der Erbringung der Arbeitsleistung hindern.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Haftstrafe</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erforderlich, wenn Haftantritt bevorsteht.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Kurantritt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erforderlich, insbesondere bei Kurzzeitbeschäftigungen.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Parteizugehörigkeit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nicht erforderlich</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Schwangerschaft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nicht erforderlich</w:t>
            </w:r>
            <w:r>
              <w:rPr>
                <w:rFonts w:ascii="Arial" w:hAnsi="Arial" w:eastAsia="Arial" w:cs="Arial"/>
                <w:color w:val="000000"/>
                <w:position w:val="-3"/>
                <w:sz w:val="22"/>
                <w:szCs w:val="22"/>
                <w:u w:val="single"/>
              </w:rPr>
              <w:br/>
              <w:t xml:space="preserve">Ausnahme: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Kurzzeitige Beschäftigung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Beschäftigungsverbot für die ganze Beschäftigungszeit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Schwerbehinderung</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nur erforderlich, wenn der Arbeitnehmer aufgrund seiner Behinderung die vertraglich geschuldete Leistung nicht erbringen kann.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Vorstrafen</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nicht erforderlich</w:t>
            </w:r>
            <w:r>
              <w:rPr>
                <w:rFonts w:ascii="Arial" w:hAnsi="Arial" w:eastAsia="Arial" w:cs="Arial"/>
                <w:color w:val="000000"/>
                <w:position w:val="-3"/>
                <w:sz w:val="22"/>
                <w:szCs w:val="22"/>
                <w:u w:val="single"/>
              </w:rPr>
              <w:br/>
              <w:t xml:space="preserve">Ausnahme: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Wenn sich aus der Vorstrafe auf die Ungeeignetheit des Arbeitnehmers schließen lässt (z.B. Vorstrafe wegen sexuellen Missbrauchs an Kindern bei Kindergärtnern).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b/>
                <w:bCs/>
                <w:color w:val="000000"/>
                <w:position w:val="-3"/>
                <w:sz w:val="22"/>
                <w:szCs w:val="22"/>
              </w:rPr>
              <w:t xml:space="preserve">Wettbewerbsverbot</w:t>
            </w:r>
          </w:p>
        </w:tc>
        <w:tc>
          <w:tcPr>
            <w:tcBorders>
              <w:top w:val="single" w:color="000000" w:sz="5"/>
              <w:left w:val="single" w:color="000000" w:sz="5"/>
              <w:bottom w:val="single" w:color="000000" w:sz="5"/>
              <w:right w:val="single" w:color="000000" w:sz="5"/>
            </w:tcBorders>
            <w:tcMar>
              <w:top w:w="15" w:type="dxa"/>
              <w:bottom w:w="15" w:type="dxa"/>
            </w:tcMar>
            <w:vAlign w:val="center"/>
          </w:tcPr>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position w:val="-3"/>
                <w:sz w:val="22"/>
                <w:szCs w:val="22"/>
              </w:rPr>
              <w:t xml:space="preserve">Mitteilung erforderlich</w:t>
            </w:r>
            <w:r>
              <w:rPr>
                <w:rFonts w:ascii="Arial" w:hAnsi="Arial" w:eastAsia="Arial" w:cs="Arial"/>
                <w:color w:val="000000"/>
                <w:position w:val="-3"/>
                <w:sz w:val="22"/>
                <w:szCs w:val="22"/>
              </w:rPr>
              <w:br/>
              <w:t xml:space="preserve">Grund: Erhebliche Beeinträchtigung der geschuldeten Arbeitsleistung</w:t>
            </w:r>
          </w:p>
        </w:tc>
      </w:tr>
    </w:tbl>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499720">
    <w:multiLevelType w:val="hybridMultilevel"/>
    <w:lvl w:ilvl="0" w:tplc="41975803">
      <w:start w:val="1"/>
      <w:numFmt w:val="decimal"/>
      <w:lvlText w:val="%1."/>
      <w:lvlJc w:val="left"/>
      <w:pPr>
        <w:ind w:left="720" w:hanging="360"/>
      </w:pPr>
    </w:lvl>
    <w:lvl w:ilvl="1" w:tplc="41975803" w:tentative="1">
      <w:start w:val="1"/>
      <w:numFmt w:val="lowerLetter"/>
      <w:lvlText w:val="%2."/>
      <w:lvlJc w:val="left"/>
      <w:pPr>
        <w:ind w:left="1440" w:hanging="360"/>
      </w:pPr>
    </w:lvl>
    <w:lvl w:ilvl="2" w:tplc="41975803" w:tentative="1">
      <w:start w:val="1"/>
      <w:numFmt w:val="lowerRoman"/>
      <w:lvlText w:val="%3."/>
      <w:lvlJc w:val="right"/>
      <w:pPr>
        <w:ind w:left="2160" w:hanging="180"/>
      </w:pPr>
    </w:lvl>
    <w:lvl w:ilvl="3" w:tplc="41975803" w:tentative="1">
      <w:start w:val="1"/>
      <w:numFmt w:val="decimal"/>
      <w:lvlText w:val="%4."/>
      <w:lvlJc w:val="left"/>
      <w:pPr>
        <w:ind w:left="2880" w:hanging="360"/>
      </w:pPr>
    </w:lvl>
    <w:lvl w:ilvl="4" w:tplc="41975803" w:tentative="1">
      <w:start w:val="1"/>
      <w:numFmt w:val="lowerLetter"/>
      <w:lvlText w:val="%5."/>
      <w:lvlJc w:val="left"/>
      <w:pPr>
        <w:ind w:left="3600" w:hanging="360"/>
      </w:pPr>
    </w:lvl>
    <w:lvl w:ilvl="5" w:tplc="41975803" w:tentative="1">
      <w:start w:val="1"/>
      <w:numFmt w:val="lowerRoman"/>
      <w:lvlText w:val="%6."/>
      <w:lvlJc w:val="right"/>
      <w:pPr>
        <w:ind w:left="4320" w:hanging="180"/>
      </w:pPr>
    </w:lvl>
    <w:lvl w:ilvl="6" w:tplc="41975803" w:tentative="1">
      <w:start w:val="1"/>
      <w:numFmt w:val="decimal"/>
      <w:lvlText w:val="%7."/>
      <w:lvlJc w:val="left"/>
      <w:pPr>
        <w:ind w:left="5040" w:hanging="360"/>
      </w:pPr>
    </w:lvl>
    <w:lvl w:ilvl="7" w:tplc="41975803" w:tentative="1">
      <w:start w:val="1"/>
      <w:numFmt w:val="lowerLetter"/>
      <w:lvlText w:val="%8."/>
      <w:lvlJc w:val="left"/>
      <w:pPr>
        <w:ind w:left="5760" w:hanging="360"/>
      </w:pPr>
    </w:lvl>
    <w:lvl w:ilvl="8" w:tplc="41975803" w:tentative="1">
      <w:start w:val="1"/>
      <w:numFmt w:val="lowerRoman"/>
      <w:lvlText w:val="%9."/>
      <w:lvlJc w:val="right"/>
      <w:pPr>
        <w:ind w:left="6480" w:hanging="180"/>
      </w:pPr>
    </w:lvl>
  </w:abstractNum>
  <w:abstractNum w:abstractNumId="70499719">
    <w:multiLevelType w:val="hybridMultilevel"/>
    <w:lvl w:ilvl="0" w:tplc="467281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499719">
    <w:abstractNumId w:val="70499719"/>
  </w:num>
  <w:num w:numId="70499720">
    <w:abstractNumId w:val="704997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