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20" w:after="220" w:line="240" w:lineRule="auto"/>
        <w:ind w:left="0" w:right="0"/>
        <w:jc w:val="both"/>
      </w:pPr>
      <w:r>
        <w:rPr>
          <w:rFonts w:ascii="Arial" w:hAnsi="Arial" w:eastAsia="Arial" w:cs="Arial"/>
          <w:i/>
          <w:iCs/>
          <w:color w:val="000000"/>
          <w:sz w:val="22"/>
          <w:szCs w:val="22"/>
        </w:rPr>
        <w:t xml:space="preserve">Der Betriebsrat der […] - [GmbH]     [Ort], [Datum]</w:t>
      </w:r>
    </w:p>
    <w:p>
      <w:pPr>
        <w:widowControl w:val="on"/>
        <w:pBdr/>
        <w:spacing w:before="120" w:after="220" w:line="240" w:lineRule="auto"/>
        <w:ind w:left="0" w:right="0"/>
        <w:jc w:val="both"/>
      </w:pPr>
      <w:r>
        <w:rPr>
          <w:rFonts w:ascii="Arial" w:hAnsi="Arial" w:eastAsia="Arial" w:cs="Arial"/>
          <w:i/>
          <w:iCs/>
          <w:color w:val="000000"/>
          <w:sz w:val="22"/>
          <w:szCs w:val="22"/>
        </w:rPr>
        <w:t xml:space="preserve">An Geschäftsleitung der […] - [GmbH]</w:t>
      </w:r>
    </w:p>
    <w:p>
      <w:pPr>
        <w:widowControl w:val="on"/>
        <w:pBdr/>
        <w:spacing w:before="120" w:after="220" w:line="240" w:lineRule="auto"/>
        <w:ind w:left="0" w:right="0"/>
        <w:jc w:val="both"/>
      </w:pPr>
      <w:r>
        <w:rPr>
          <w:rFonts w:ascii="Arial" w:hAnsi="Arial" w:eastAsia="Arial" w:cs="Arial"/>
          <w:i/>
          <w:iCs/>
          <w:color w:val="000000"/>
          <w:sz w:val="22"/>
          <w:szCs w:val="22"/>
        </w:rPr>
        <w:t xml:space="preserve">Im Hause</w:t>
      </w:r>
    </w:p>
    <w:p>
      <w:pPr>
        <w:widowControl w:val="on"/>
        <w:pBdr/>
        <w:spacing w:before="120" w:after="220" w:line="240" w:lineRule="auto"/>
        <w:ind w:left="0" w:right="0"/>
        <w:jc w:val="both"/>
      </w:pPr>
      <w:r>
        <w:rPr>
          <w:rFonts w:ascii="Arial" w:hAnsi="Arial" w:eastAsia="Arial" w:cs="Arial"/>
          <w:color w:val="000000"/>
          <w:sz w:val="22"/>
          <w:szCs w:val="22"/>
        </w:rPr>
        <w:t xml:space="preserve"> </w:t>
      </w:r>
    </w:p>
    <w:p>
      <w:pPr>
        <w:widowControl w:val="on"/>
        <w:pBdr/>
        <w:spacing w:before="120" w:after="220" w:line="240" w:lineRule="auto"/>
        <w:ind w:left="0" w:right="0"/>
        <w:jc w:val="both"/>
      </w:pPr>
      <w:r>
        <w:rPr>
          <w:rFonts w:ascii="Arial" w:hAnsi="Arial" w:eastAsia="Arial" w:cs="Arial"/>
          <w:b/>
          <w:bCs/>
          <w:color w:val="000000"/>
          <w:sz w:val="22"/>
          <w:szCs w:val="22"/>
        </w:rPr>
        <w:t xml:space="preserve">Bezahlung von Mehrarbeit [</w:t>
      </w:r>
      <w:r>
        <w:rPr>
          <w:rFonts w:ascii="Arial" w:hAnsi="Arial" w:eastAsia="Arial" w:cs="Arial"/>
          <w:b/>
          <w:bCs/>
          <w:i/>
          <w:iCs/>
          <w:color w:val="000000"/>
          <w:sz w:val="22"/>
          <w:szCs w:val="22"/>
        </w:rPr>
        <w:t xml:space="preserve">der</w:t>
      </w:r>
      <w:r>
        <w:rPr>
          <w:rFonts w:ascii="Arial" w:hAnsi="Arial" w:eastAsia="Arial" w:cs="Arial"/>
          <w:b/>
          <w:bCs/>
          <w:color w:val="000000"/>
          <w:sz w:val="22"/>
          <w:szCs w:val="22"/>
        </w:rPr>
        <w:t xml:space="preserve">] [</w:t>
      </w:r>
      <w:r>
        <w:rPr>
          <w:rFonts w:ascii="Arial" w:hAnsi="Arial" w:eastAsia="Arial" w:cs="Arial"/>
          <w:b/>
          <w:bCs/>
          <w:i/>
          <w:iCs/>
          <w:color w:val="000000"/>
          <w:sz w:val="22"/>
          <w:szCs w:val="22"/>
        </w:rPr>
        <w:t xml:space="preserve">des</w:t>
      </w:r>
      <w:r>
        <w:rPr>
          <w:rFonts w:ascii="Arial" w:hAnsi="Arial" w:eastAsia="Arial" w:cs="Arial"/>
          <w:b/>
          <w:bCs/>
          <w:color w:val="000000"/>
          <w:sz w:val="22"/>
          <w:szCs w:val="22"/>
        </w:rPr>
        <w:t xml:space="preserve">] [</w:t>
      </w:r>
      <w:r>
        <w:rPr>
          <w:rFonts w:ascii="Arial" w:hAnsi="Arial" w:eastAsia="Arial" w:cs="Arial"/>
          <w:b/>
          <w:bCs/>
          <w:i/>
          <w:iCs/>
          <w:color w:val="000000"/>
          <w:sz w:val="22"/>
          <w:szCs w:val="22"/>
        </w:rPr>
        <w:t xml:space="preserve">Frau</w:t>
      </w:r>
      <w:r>
        <w:rPr>
          <w:rFonts w:ascii="Arial" w:hAnsi="Arial" w:eastAsia="Arial" w:cs="Arial"/>
          <w:b/>
          <w:bCs/>
          <w:color w:val="000000"/>
          <w:sz w:val="22"/>
          <w:szCs w:val="22"/>
        </w:rPr>
        <w:t xml:space="preserve">] [</w:t>
      </w:r>
      <w:r>
        <w:rPr>
          <w:rFonts w:ascii="Arial" w:hAnsi="Arial" w:eastAsia="Arial" w:cs="Arial"/>
          <w:b/>
          <w:bCs/>
          <w:i/>
          <w:iCs/>
          <w:color w:val="000000"/>
          <w:sz w:val="22"/>
          <w:szCs w:val="22"/>
        </w:rPr>
        <w:t xml:space="preserve">Herrn</w:t>
      </w:r>
      <w:r>
        <w:rPr>
          <w:rFonts w:ascii="Arial" w:hAnsi="Arial" w:eastAsia="Arial" w:cs="Arial"/>
          <w:b/>
          <w:bCs/>
          <w:color w:val="000000"/>
          <w:sz w:val="22"/>
          <w:szCs w:val="22"/>
        </w:rPr>
        <w:t xml:space="preserve">] […]</w:t>
      </w:r>
    </w:p>
    <w:p>
      <w:pPr>
        <w:widowControl w:val="on"/>
        <w:pBdr/>
        <w:spacing w:before="120" w:after="220" w:line="240" w:lineRule="auto"/>
        <w:ind w:left="0" w:right="0"/>
        <w:jc w:val="both"/>
      </w:pPr>
      <w:r>
        <w:rPr>
          <w:rFonts w:ascii="Arial" w:hAnsi="Arial" w:eastAsia="Arial" w:cs="Arial"/>
          <w:i/>
          <w:iCs/>
          <w:color w:val="000000"/>
          <w:sz w:val="22"/>
          <w:szCs w:val="22"/>
        </w:rPr>
        <w:t xml:space="preserve">Sehr geehrte[r] [Frau] [Herr] [Dr.] […],</w:t>
      </w:r>
    </w:p>
    <w:p>
      <w:pPr>
        <w:widowControl w:val="on"/>
        <w:pBdr/>
        <w:spacing w:before="120" w:after="220" w:line="240" w:lineRule="auto"/>
        <w:ind w:left="0" w:right="0"/>
        <w:jc w:val="both"/>
      </w:pPr>
      <w:r>
        <w:rPr>
          <w:rFonts w:ascii="Arial" w:hAnsi="Arial" w:eastAsia="Arial" w:cs="Arial"/>
          <w:color w:val="000000"/>
          <w:sz w:val="22"/>
          <w:szCs w:val="22"/>
        </w:rPr>
        <w:t xml:space="preserve">[</w:t>
      </w:r>
      <w:r>
        <w:rPr>
          <w:rFonts w:ascii="Arial" w:hAnsi="Arial" w:eastAsia="Arial" w:cs="Arial"/>
          <w:i/>
          <w:iCs/>
          <w:color w:val="000000"/>
          <w:sz w:val="22"/>
          <w:szCs w:val="22"/>
        </w:rPr>
        <w:t xml:space="preserve">die</w:t>
      </w:r>
      <w:r>
        <w:rPr>
          <w:rFonts w:ascii="Arial" w:hAnsi="Arial" w:eastAsia="Arial" w:cs="Arial"/>
          <w:color w:val="000000"/>
          <w:sz w:val="22"/>
          <w:szCs w:val="22"/>
        </w:rPr>
        <w:t xml:space="preserve">] [</w:t>
      </w:r>
      <w:r>
        <w:rPr>
          <w:rFonts w:ascii="Arial" w:hAnsi="Arial" w:eastAsia="Arial" w:cs="Arial"/>
          <w:i/>
          <w:iCs/>
          <w:color w:val="000000"/>
          <w:sz w:val="22"/>
          <w:szCs w:val="22"/>
        </w:rPr>
        <w:t xml:space="preserve">der</w:t>
      </w:r>
      <w:r>
        <w:rPr>
          <w:rFonts w:ascii="Arial" w:hAnsi="Arial" w:eastAsia="Arial" w:cs="Arial"/>
          <w:color w:val="000000"/>
          <w:sz w:val="22"/>
          <w:szCs w:val="22"/>
        </w:rPr>
        <w:t xml:space="preserve">] [</w:t>
      </w:r>
      <w:r>
        <w:rPr>
          <w:rFonts w:ascii="Arial" w:hAnsi="Arial" w:eastAsia="Arial" w:cs="Arial"/>
          <w:i/>
          <w:iCs/>
          <w:color w:val="000000"/>
          <w:sz w:val="22"/>
          <w:szCs w:val="22"/>
        </w:rPr>
        <w:t xml:space="preserve">Kollegin</w:t>
      </w:r>
      <w:r>
        <w:rPr>
          <w:rFonts w:ascii="Arial" w:hAnsi="Arial" w:eastAsia="Arial" w:cs="Arial"/>
          <w:color w:val="000000"/>
          <w:sz w:val="22"/>
          <w:szCs w:val="22"/>
        </w:rPr>
        <w:t xml:space="preserve">] [</w:t>
      </w:r>
      <w:r>
        <w:rPr>
          <w:rFonts w:ascii="Arial" w:hAnsi="Arial" w:eastAsia="Arial" w:cs="Arial"/>
          <w:i/>
          <w:iCs/>
          <w:color w:val="000000"/>
          <w:sz w:val="22"/>
          <w:szCs w:val="22"/>
        </w:rPr>
        <w:t xml:space="preserve">Kollege</w:t>
      </w:r>
      <w:r>
        <w:rPr>
          <w:rFonts w:ascii="Arial" w:hAnsi="Arial" w:eastAsia="Arial" w:cs="Arial"/>
          <w:color w:val="000000"/>
          <w:sz w:val="22"/>
          <w:szCs w:val="22"/>
        </w:rPr>
        <w:t xml:space="preserve">] [</w:t>
      </w:r>
      <w:r>
        <w:rPr>
          <w:rFonts w:ascii="Arial" w:hAnsi="Arial" w:eastAsia="Arial" w:cs="Arial"/>
          <w:i/>
          <w:iCs/>
          <w:color w:val="000000"/>
          <w:sz w:val="22"/>
          <w:szCs w:val="22"/>
        </w:rPr>
        <w:t xml:space="preserve">Frau</w:t>
      </w:r>
      <w:r>
        <w:rPr>
          <w:rFonts w:ascii="Arial" w:hAnsi="Arial" w:eastAsia="Arial" w:cs="Arial"/>
          <w:color w:val="000000"/>
          <w:sz w:val="22"/>
          <w:szCs w:val="22"/>
        </w:rPr>
        <w:t xml:space="preserve">] [</w:t>
      </w:r>
      <w:r>
        <w:rPr>
          <w:rFonts w:ascii="Arial" w:hAnsi="Arial" w:eastAsia="Arial" w:cs="Arial"/>
          <w:i/>
          <w:iCs/>
          <w:color w:val="000000"/>
          <w:sz w:val="22"/>
          <w:szCs w:val="22"/>
        </w:rPr>
        <w:t xml:space="preserve">Herr</w:t>
      </w:r>
      <w:r>
        <w:rPr>
          <w:rFonts w:ascii="Arial" w:hAnsi="Arial" w:eastAsia="Arial" w:cs="Arial"/>
          <w:color w:val="000000"/>
          <w:sz w:val="22"/>
          <w:szCs w:val="22"/>
        </w:rPr>
        <w:t xml:space="preserve">] […] hat als Mitglied des Betriebsrats im Monat […] insgesamt […] Stunden ‚BR-Tätigkeit‘ außerhalb [</w:t>
      </w:r>
      <w:r>
        <w:rPr>
          <w:rFonts w:ascii="Arial" w:hAnsi="Arial" w:eastAsia="Arial" w:cs="Arial"/>
          <w:i/>
          <w:iCs/>
          <w:color w:val="000000"/>
          <w:sz w:val="22"/>
          <w:szCs w:val="22"/>
        </w:rPr>
        <w:t xml:space="preserve">ihrer</w:t>
      </w:r>
      <w:r>
        <w:rPr>
          <w:rFonts w:ascii="Arial" w:hAnsi="Arial" w:eastAsia="Arial" w:cs="Arial"/>
          <w:color w:val="000000"/>
          <w:sz w:val="22"/>
          <w:szCs w:val="22"/>
        </w:rPr>
        <w:t xml:space="preserve">] [</w:t>
      </w:r>
      <w:r>
        <w:rPr>
          <w:rFonts w:ascii="Arial" w:hAnsi="Arial" w:eastAsia="Arial" w:cs="Arial"/>
          <w:i/>
          <w:iCs/>
          <w:color w:val="000000"/>
          <w:sz w:val="22"/>
          <w:szCs w:val="22"/>
        </w:rPr>
        <w:t xml:space="preserve">seiner</w:t>
      </w:r>
      <w:r>
        <w:rPr>
          <w:rFonts w:ascii="Arial" w:hAnsi="Arial" w:eastAsia="Arial" w:cs="Arial"/>
          <w:color w:val="000000"/>
          <w:sz w:val="22"/>
          <w:szCs w:val="22"/>
        </w:rPr>
        <w:t xml:space="preserve">] persönlichen Arbeitszeit durchführen müssen.</w:t>
      </w:r>
    </w:p>
    <w:p>
      <w:pPr>
        <w:widowControl w:val="on"/>
        <w:pBdr/>
        <w:spacing w:before="120" w:after="220" w:line="240" w:lineRule="auto"/>
        <w:ind w:left="0" w:right="0"/>
        <w:jc w:val="both"/>
      </w:pPr>
      <w:r>
        <w:rPr>
          <w:rFonts w:ascii="Arial" w:hAnsi="Arial" w:eastAsia="Arial" w:cs="Arial"/>
          <w:color w:val="000000"/>
          <w:sz w:val="22"/>
          <w:szCs w:val="22"/>
        </w:rPr>
        <w:t xml:space="preserve">Diese – notwendige – Mehrarbeit war aus betriebsbedingten Gründen veranlasst, denn [</w:t>
      </w:r>
      <w:r>
        <w:rPr>
          <w:rFonts w:ascii="Arial" w:hAnsi="Arial" w:eastAsia="Arial" w:cs="Arial"/>
          <w:i/>
          <w:iCs/>
          <w:color w:val="000000"/>
          <w:sz w:val="22"/>
          <w:szCs w:val="22"/>
        </w:rPr>
        <w:t xml:space="preserve">z.B. [die] [der] Betroffene hatte die BR-Tätigkeit nach Schichtende zu verrichten, weil die von ihm besuchte insgesamt dreistündige Betriebsratssitzung außerplanmäßig am […] von […] bis […] Uhr stattfand</w:t>
      </w:r>
      <w:r>
        <w:rPr>
          <w:rFonts w:ascii="Arial" w:hAnsi="Arial" w:eastAsia="Arial" w:cs="Arial"/>
          <w:color w:val="000000"/>
          <w:sz w:val="22"/>
          <w:szCs w:val="22"/>
        </w:rPr>
        <w:t xml:space="preserve">]. [</w:t>
      </w:r>
      <w:r>
        <w:rPr>
          <w:rFonts w:ascii="Arial" w:hAnsi="Arial" w:eastAsia="Arial" w:cs="Arial"/>
          <w:i/>
          <w:iCs/>
          <w:color w:val="000000"/>
          <w:sz w:val="22"/>
          <w:szCs w:val="22"/>
        </w:rPr>
        <w:t xml:space="preserve">Frau</w:t>
      </w:r>
      <w:r>
        <w:rPr>
          <w:rFonts w:ascii="Arial" w:hAnsi="Arial" w:eastAsia="Arial" w:cs="Arial"/>
          <w:color w:val="000000"/>
          <w:sz w:val="22"/>
          <w:szCs w:val="22"/>
        </w:rPr>
        <w:t xml:space="preserve">] [</w:t>
      </w:r>
      <w:r>
        <w:rPr>
          <w:rFonts w:ascii="Arial" w:hAnsi="Arial" w:eastAsia="Arial" w:cs="Arial"/>
          <w:i/>
          <w:iCs/>
          <w:color w:val="000000"/>
          <w:sz w:val="22"/>
          <w:szCs w:val="22"/>
        </w:rPr>
        <w:t xml:space="preserve">Herr</w:t>
      </w:r>
      <w:r>
        <w:rPr>
          <w:rFonts w:ascii="Arial" w:hAnsi="Arial" w:eastAsia="Arial" w:cs="Arial"/>
          <w:color w:val="000000"/>
          <w:sz w:val="22"/>
          <w:szCs w:val="22"/>
        </w:rPr>
        <w:t xml:space="preserve">] […] hat sich zuvor ordnungsgemäß [</w:t>
      </w:r>
      <w:r>
        <w:rPr>
          <w:rFonts w:ascii="Arial" w:hAnsi="Arial" w:eastAsia="Arial" w:cs="Arial"/>
          <w:i/>
          <w:iCs/>
          <w:color w:val="000000"/>
          <w:sz w:val="22"/>
          <w:szCs w:val="22"/>
        </w:rPr>
        <w:t xml:space="preserve">gegenüber [ihrer] [seinem] unmittelbaren Vorgesetzten [Frau] [Herrn] […]</w:t>
      </w:r>
      <w:r>
        <w:rPr>
          <w:rFonts w:ascii="Arial" w:hAnsi="Arial" w:eastAsia="Arial" w:cs="Arial"/>
          <w:color w:val="000000"/>
          <w:sz w:val="22"/>
          <w:szCs w:val="22"/>
        </w:rPr>
        <w:t xml:space="preserve">] unter Angabe von Ort und voraussichtlicher Dauer der BR-Tätigkeit [</w:t>
      </w:r>
      <w:r>
        <w:rPr>
          <w:rFonts w:ascii="Arial" w:hAnsi="Arial" w:eastAsia="Arial" w:cs="Arial"/>
          <w:i/>
          <w:iCs/>
          <w:color w:val="000000"/>
          <w:sz w:val="22"/>
          <w:szCs w:val="22"/>
        </w:rPr>
        <w:t xml:space="preserve">mündlich</w:t>
      </w:r>
      <w:r>
        <w:rPr>
          <w:rFonts w:ascii="Arial" w:hAnsi="Arial" w:eastAsia="Arial" w:cs="Arial"/>
          <w:color w:val="000000"/>
          <w:sz w:val="22"/>
          <w:szCs w:val="22"/>
        </w:rPr>
        <w:t xml:space="preserve">] [</w:t>
      </w:r>
      <w:r>
        <w:rPr>
          <w:rFonts w:ascii="Arial" w:hAnsi="Arial" w:eastAsia="Arial" w:cs="Arial"/>
          <w:i/>
          <w:iCs/>
          <w:color w:val="000000"/>
          <w:sz w:val="22"/>
          <w:szCs w:val="22"/>
        </w:rPr>
        <w:t xml:space="preserve">schriftlich</w:t>
      </w:r>
      <w:r>
        <w:rPr>
          <w:rFonts w:ascii="Arial" w:hAnsi="Arial" w:eastAsia="Arial" w:cs="Arial"/>
          <w:color w:val="000000"/>
          <w:sz w:val="22"/>
          <w:szCs w:val="22"/>
        </w:rPr>
        <w:t xml:space="preserve">] [</w:t>
      </w:r>
      <w:r>
        <w:rPr>
          <w:rFonts w:ascii="Arial" w:hAnsi="Arial" w:eastAsia="Arial" w:cs="Arial"/>
          <w:i/>
          <w:iCs/>
          <w:color w:val="000000"/>
          <w:sz w:val="22"/>
          <w:szCs w:val="22"/>
        </w:rPr>
        <w:t xml:space="preserve">via Email</w:t>
      </w:r>
      <w:r>
        <w:rPr>
          <w:rFonts w:ascii="Arial" w:hAnsi="Arial" w:eastAsia="Arial" w:cs="Arial"/>
          <w:color w:val="000000"/>
          <w:sz w:val="22"/>
          <w:szCs w:val="22"/>
        </w:rPr>
        <w:t xml:space="preserve">] abgemeldet.</w:t>
      </w:r>
    </w:p>
    <w:p>
      <w:pPr>
        <w:widowControl w:val="on"/>
        <w:pBdr/>
        <w:spacing w:before="120" w:after="220" w:line="240" w:lineRule="auto"/>
        <w:ind w:left="0" w:right="0"/>
        <w:jc w:val="both"/>
      </w:pPr>
      <w:r>
        <w:rPr>
          <w:rFonts w:ascii="Arial" w:hAnsi="Arial" w:eastAsia="Arial" w:cs="Arial"/>
          <w:color w:val="000000"/>
          <w:sz w:val="22"/>
          <w:szCs w:val="22"/>
        </w:rPr>
        <w:t xml:space="preserve">Für die Kontinuität und Zuverlässigkeit der Arbeit des Betriebsrats ist die zeitnahe Vergütung erforderlicher Mehrarbeit unverzichtbar. Der nach dem Gesetz innerhalb eines Monats vorrangig vorgesehene Freizeitausgleich hat bis heute nicht stattgefunden, so dass die o.g. Anzahl von Mehrarbeitsstunden nunmehr in Geld ausbezahlt werden muss. Der Anspruch auf Arbeitsbefreiung unter Vergütungsfortzahlung und Bezahlung von Mehrarbeit ergibt sich § 37 Absatz 3 Satz 2 Halbsatz 2 Betriebsverfassungsgesetz – BetrVG [vgl. hierzu auch BAG, Urteil vom 5.5.2010 – 7 AZR 728/08 – NZA 2010, 1025].</w:t>
      </w:r>
    </w:p>
    <w:p>
      <w:pPr>
        <w:widowControl w:val="on"/>
        <w:pBdr/>
        <w:spacing w:before="120" w:after="220" w:line="240" w:lineRule="auto"/>
        <w:ind w:left="0" w:right="0"/>
        <w:jc w:val="both"/>
      </w:pPr>
      <w:r>
        <w:rPr>
          <w:rFonts w:ascii="Arial" w:hAnsi="Arial" w:eastAsia="Arial" w:cs="Arial"/>
          <w:color w:val="000000"/>
          <w:sz w:val="22"/>
          <w:szCs w:val="22"/>
        </w:rPr>
        <w:t xml:space="preserve">Für Rückfragen erreichen Sie mich jederzeit unter [</w:t>
      </w:r>
      <w:r>
        <w:rPr>
          <w:rFonts w:ascii="Arial" w:hAnsi="Arial" w:eastAsia="Arial" w:cs="Arial"/>
          <w:i/>
          <w:iCs/>
          <w:color w:val="000000"/>
          <w:sz w:val="22"/>
          <w:szCs w:val="22"/>
        </w:rPr>
        <w:t xml:space="preserve">Rufnummer</w:t>
      </w:r>
      <w:r>
        <w:rPr>
          <w:rFonts w:ascii="Arial" w:hAnsi="Arial" w:eastAsia="Arial" w:cs="Arial"/>
          <w:color w:val="000000"/>
          <w:sz w:val="22"/>
          <w:szCs w:val="22"/>
        </w:rPr>
        <w:t xml:space="preserve">].</w:t>
      </w:r>
    </w:p>
    <w:p>
      <w:pPr>
        <w:widowControl w:val="on"/>
        <w:pBdr/>
        <w:spacing w:before="120" w:after="220" w:line="240" w:lineRule="auto"/>
        <w:ind w:left="0" w:right="0"/>
        <w:jc w:val="both"/>
      </w:pPr>
      <w:r>
        <w:rPr>
          <w:rFonts w:ascii="Arial" w:hAnsi="Arial" w:eastAsia="Arial" w:cs="Arial"/>
          <w:color w:val="000000"/>
          <w:sz w:val="22"/>
          <w:szCs w:val="22"/>
        </w:rPr>
        <w:t xml:space="preserve">Freundliche Grüße</w:t>
      </w:r>
    </w:p>
    <w:p>
      <w:pPr>
        <w:widowControl w:val="on"/>
        <w:pBdr/>
        <w:spacing w:before="120" w:after="220" w:line="240" w:lineRule="auto"/>
        <w:ind w:left="0" w:right="0"/>
        <w:jc w:val="both"/>
      </w:pPr>
      <w:r>
        <w:rPr>
          <w:rFonts w:ascii="Arial" w:hAnsi="Arial" w:eastAsia="Arial" w:cs="Arial"/>
          <w:color w:val="000000"/>
          <w:sz w:val="22"/>
          <w:szCs w:val="22"/>
        </w:rPr>
        <w:t xml:space="preserve">[</w:t>
      </w:r>
      <w:r>
        <w:rPr>
          <w:rFonts w:ascii="Arial" w:hAnsi="Arial" w:eastAsia="Arial" w:cs="Arial"/>
          <w:i/>
          <w:iCs/>
          <w:color w:val="000000"/>
          <w:sz w:val="22"/>
          <w:szCs w:val="22"/>
        </w:rPr>
        <w:t xml:space="preserve">Ort</w:t>
      </w:r>
      <w:r>
        <w:rPr>
          <w:rFonts w:ascii="Arial" w:hAnsi="Arial" w:eastAsia="Arial" w:cs="Arial"/>
          <w:color w:val="000000"/>
          <w:sz w:val="22"/>
          <w:szCs w:val="22"/>
        </w:rPr>
        <w:t xml:space="preserve">], [</w:t>
      </w:r>
      <w:r>
        <w:rPr>
          <w:rFonts w:ascii="Arial" w:hAnsi="Arial" w:eastAsia="Arial" w:cs="Arial"/>
          <w:i/>
          <w:iCs/>
          <w:color w:val="000000"/>
          <w:sz w:val="22"/>
          <w:szCs w:val="22"/>
        </w:rPr>
        <w:t xml:space="preserve">Datum</w:t>
      </w:r>
      <w:r>
        <w:rPr>
          <w:rFonts w:ascii="Arial" w:hAnsi="Arial" w:eastAsia="Arial" w:cs="Arial"/>
          <w:color w:val="000000"/>
          <w:sz w:val="22"/>
          <w:szCs w:val="22"/>
        </w:rPr>
        <w:t xml:space="preserve">]</w:t>
      </w:r>
    </w:p>
    <w:p>
      <w:pPr>
        <w:widowControl w:val="on"/>
        <w:pBdr/>
        <w:spacing w:before="120" w:after="220" w:line="240" w:lineRule="auto"/>
        <w:ind w:left="0" w:right="0"/>
        <w:jc w:val="both"/>
      </w:pPr>
      <w:r>
        <w:rPr>
          <w:rFonts w:ascii="Arial" w:hAnsi="Arial" w:eastAsia="Arial" w:cs="Arial"/>
          <w:color w:val="000000"/>
          <w:sz w:val="22"/>
          <w:szCs w:val="22"/>
        </w:rPr>
        <w:t xml:space="preserve">[</w:t>
      </w:r>
      <w:r>
        <w:rPr>
          <w:rFonts w:ascii="Arial" w:hAnsi="Arial" w:eastAsia="Arial" w:cs="Arial"/>
          <w:i/>
          <w:iCs/>
          <w:color w:val="000000"/>
          <w:sz w:val="22"/>
          <w:szCs w:val="22"/>
        </w:rPr>
        <w:t xml:space="preserve">Vertrauensperson</w:t>
      </w:r>
      <w:r>
        <w:rPr>
          <w:rFonts w:ascii="Arial" w:hAnsi="Arial" w:eastAsia="Arial" w:cs="Arial"/>
          <w:color w:val="000000"/>
          <w:sz w:val="22"/>
          <w:szCs w:val="22"/>
        </w:rPr>
        <w:t xml:space="preserve">]</w:t>
      </w:r>
    </w:p>
    <w:p>
      <w:pPr>
        <w:widowControl w:val="on"/>
        <w:pBdr/>
        <w:spacing w:before="120" w:after="220" w:line="240" w:lineRule="auto"/>
        <w:ind w:left="0" w:right="0"/>
        <w:jc w:val="both"/>
      </w:pPr>
      <w:r>
        <w:rPr>
          <w:rFonts w:ascii="Arial" w:hAnsi="Arial" w:eastAsia="Arial" w:cs="Arial"/>
          <w:b/>
          <w:bCs/>
          <w:color w:val="000000"/>
          <w:sz w:val="22"/>
          <w:szCs w:val="22"/>
        </w:rPr>
        <w:t xml:space="preserve">__________________________________________________________________________</w:t>
      </w:r>
    </w:p>
    <w:p>
      <w:pPr>
        <w:widowControl w:val="on"/>
        <w:pBdr/>
        <w:spacing w:before="120" w:after="220" w:line="240" w:lineRule="auto"/>
        <w:ind w:left="0" w:right="0"/>
        <w:jc w:val="both"/>
      </w:pPr>
      <w:r>
        <w:rPr>
          <w:rFonts w:ascii="Arial" w:hAnsi="Arial" w:eastAsia="Arial" w:cs="Arial"/>
          <w:b/>
          <w:bCs/>
          <w:color w:val="000000"/>
          <w:sz w:val="22"/>
          <w:szCs w:val="22"/>
        </w:rPr>
        <w:t xml:space="preserve">Anwaltstipps von Niklas Pastille:</w:t>
      </w:r>
    </w:p>
    <w:p>
      <w:pPr>
        <w:numPr>
          <w:ilvl w:val="0"/>
          <w:numId w:val="1"/>
        </w:numPr>
        <w:spacing w:before="120" w:after="0" w:line="240" w:lineRule="auto"/>
        <w:jc w:val="both"/>
        <w:rPr>
          <w:rFonts w:ascii="Arial" w:hAnsi="Arial" w:eastAsia="Arial" w:cs="Arial"/>
          <w:color w:val="000000"/>
          <w:sz w:val="22"/>
          <w:szCs w:val="22"/>
        </w:rPr>
      </w:pPr>
      <w:r>
        <w:rPr>
          <w:rFonts w:ascii="Arial" w:hAnsi="Arial" w:eastAsia="Arial" w:cs="Arial"/>
          <w:color w:val="000000"/>
          <w:sz w:val="22"/>
          <w:szCs w:val="22"/>
        </w:rPr>
        <w:t xml:space="preserve">Hat ein BR-Mitglied außerhalb der persönlichen Arbeitszeit BR-Tätigkeiten durchgeführt, besitzt es einen Rechtsanspruch auf Arbeitsbefreiung unter Vergütungsfortzahlung einschließlich der Bezahlung etwaiger Mehrarbeit, wenn diese Mehrarbeit aus betriebsbedingten Gründen veranlasst gewesen ist (z.B. BR-Arbeit nach Schichtende).</w:t>
      </w:r>
    </w:p>
    <w:p>
      <w:pPr>
        <w:numPr>
          <w:ilvl w:val="0"/>
          <w:numId w:val="1"/>
        </w:numPr>
        <w:spacing w:before="120" w:after="0" w:line="240" w:lineRule="auto"/>
        <w:jc w:val="both"/>
        <w:rPr>
          <w:rFonts w:ascii="Arial" w:hAnsi="Arial" w:eastAsia="Arial" w:cs="Arial"/>
          <w:color w:val="000000"/>
          <w:sz w:val="22"/>
          <w:szCs w:val="22"/>
        </w:rPr>
      </w:pPr>
      <w:r>
        <w:rPr>
          <w:rFonts w:ascii="Arial" w:hAnsi="Arial" w:eastAsia="Arial" w:cs="Arial"/>
          <w:color w:val="000000"/>
          <w:sz w:val="22"/>
          <w:szCs w:val="22"/>
        </w:rPr>
        <w:t xml:space="preserve">Voraussetzung für eine Vergütung ist, dass (auch) die außerhalb der persönlichen Arbeitszeit erbrachte BR-Tätigkeit zuvor ordnungsgemäß angemeldet worden ist (deshalb nie ‚geheime‘ BR-Überstunden leisten!).</w:t>
      </w:r>
    </w:p>
    <w:p>
      <w:pPr>
        <w:numPr>
          <w:ilvl w:val="0"/>
          <w:numId w:val="1"/>
        </w:numPr>
        <w:spacing w:before="120" w:after="0" w:line="240" w:lineRule="auto"/>
        <w:jc w:val="both"/>
        <w:rPr>
          <w:rFonts w:ascii="Arial" w:hAnsi="Arial" w:eastAsia="Arial" w:cs="Arial"/>
          <w:color w:val="000000"/>
          <w:sz w:val="22"/>
          <w:szCs w:val="22"/>
        </w:rPr>
      </w:pPr>
      <w:r>
        <w:rPr>
          <w:rFonts w:ascii="Arial" w:hAnsi="Arial" w:eastAsia="Arial" w:cs="Arial"/>
          <w:color w:val="000000"/>
          <w:sz w:val="22"/>
          <w:szCs w:val="22"/>
        </w:rPr>
        <w:t xml:space="preserve">Innerhalb eines Monats ist BR-Mehrarbeit in Freizeit auszugleichen. Ist aus betriebsbedingten Gründen kein Freizeitausgleich möglich (z.B. bei Vorliegen einer Auftragsspitze), muss die Mehrarbeit in Geld vergütet, also ‚ausbezahlt‘ werden. Hierzu sollte der Betriebsrat den Arbeitgeber unter Fristsetzung und Nennung der einschlägigen Rechtsgrundlagen auffordern.</w:t>
      </w:r>
    </w:p>
    <w:p>
      <w:pPr>
        <w:numPr>
          <w:ilvl w:val="0"/>
          <w:numId w:val="1"/>
        </w:numPr>
        <w:spacing w:before="120" w:after="0" w:line="240" w:lineRule="auto"/>
        <w:jc w:val="both"/>
        <w:rPr>
          <w:rFonts w:ascii="Arial" w:hAnsi="Arial" w:eastAsia="Arial" w:cs="Arial"/>
          <w:color w:val="000000"/>
          <w:sz w:val="22"/>
          <w:szCs w:val="22"/>
        </w:rPr>
      </w:pPr>
      <w:r>
        <w:rPr>
          <w:rFonts w:ascii="Arial" w:hAnsi="Arial" w:eastAsia="Arial" w:cs="Arial"/>
          <w:color w:val="000000"/>
          <w:sz w:val="22"/>
          <w:szCs w:val="22"/>
        </w:rPr>
        <w:t xml:space="preserve">Wichtig zu wissen im Streitfall (‚</w:t>
      </w:r>
      <w:r>
        <w:rPr>
          <w:rFonts w:ascii="Arial" w:hAnsi="Arial" w:eastAsia="Arial" w:cs="Arial"/>
          <w:i/>
          <w:iCs/>
          <w:color w:val="000000"/>
          <w:sz w:val="22"/>
          <w:szCs w:val="22"/>
        </w:rPr>
        <w:t xml:space="preserve">wann ist BR-Tätigkeit außerhalb der persönlichen Arbeitszeit erforderlich?‘</w:t>
      </w:r>
      <w:r>
        <w:rPr>
          <w:rFonts w:ascii="Arial" w:hAnsi="Arial" w:eastAsia="Arial" w:cs="Arial"/>
          <w:color w:val="000000"/>
          <w:sz w:val="22"/>
          <w:szCs w:val="22"/>
        </w:rPr>
        <w:t xml:space="preserve">): ‚Erforderlich‘ ist BR-Tätigkeit, wenn das Betriebsratsmitglied bei gewissenhafter Überlegung und bei vernünftiger Würdigung aller Umstände das Arbeitsversäumnis für erforderlich halten durfte (Voraussetzung Nr. 1) und eine ordnungsgemäße Abmeldung unter Angabe von Ort und voraussichtlicher Dauer der BR-Tätigkeit stattgefunden hat (Voraussetzung Nr. 2).</w:t>
      </w:r>
    </w:p>
    <w:p>
      <w:pPr>
        <w:numPr>
          <w:ilvl w:val="0"/>
          <w:numId w:val="1"/>
        </w:numPr>
        <w:spacing w:before="120" w:after="0" w:line="240" w:lineRule="auto"/>
        <w:jc w:val="both"/>
        <w:rPr>
          <w:rFonts w:ascii="Arial" w:hAnsi="Arial" w:eastAsia="Arial" w:cs="Arial"/>
          <w:color w:val="000000"/>
          <w:sz w:val="22"/>
          <w:szCs w:val="22"/>
        </w:rPr>
      </w:pPr>
      <w:r>
        <w:rPr>
          <w:rFonts w:ascii="Arial" w:hAnsi="Arial" w:eastAsia="Arial" w:cs="Arial"/>
          <w:color w:val="000000"/>
          <w:sz w:val="22"/>
          <w:szCs w:val="22"/>
        </w:rPr>
        <w:t xml:space="preserve">Keine Voraussetzung ist das Vorliegen einer Zustimmung des Arbeitgebers zur jeweiligen BR-Tätigkeit. Das BR-Mitglied schuldet regelmäßig auch keine ‚stichwortartige Beschreibung‘ der SBV-Tätigkeit oder sonstige in der Praxis indes häufig verlangte Angaben oder Unterlagen (häufiger Arbeitgeber-Irrglaube!). Nachzulesen z.B. unter BAG, Beschluss vom 29.06.2011 – 7 ABR 135/09 – NZA 2012, 47.</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139079">
    <w:multiLevelType w:val="hybridMultilevel"/>
    <w:lvl w:ilvl="0" w:tplc="17071542">
      <w:start w:val="1"/>
      <w:numFmt w:val="decimal"/>
      <w:lvlText w:val="%1."/>
      <w:lvlJc w:val="left"/>
      <w:pPr>
        <w:ind w:left="720" w:hanging="360"/>
      </w:pPr>
    </w:lvl>
    <w:lvl w:ilvl="1" w:tplc="17071542" w:tentative="1">
      <w:start w:val="1"/>
      <w:numFmt w:val="lowerLetter"/>
      <w:lvlText w:val="%2."/>
      <w:lvlJc w:val="left"/>
      <w:pPr>
        <w:ind w:left="1440" w:hanging="360"/>
      </w:pPr>
    </w:lvl>
    <w:lvl w:ilvl="2" w:tplc="17071542" w:tentative="1">
      <w:start w:val="1"/>
      <w:numFmt w:val="lowerRoman"/>
      <w:lvlText w:val="%3."/>
      <w:lvlJc w:val="right"/>
      <w:pPr>
        <w:ind w:left="2160" w:hanging="180"/>
      </w:pPr>
    </w:lvl>
    <w:lvl w:ilvl="3" w:tplc="17071542" w:tentative="1">
      <w:start w:val="1"/>
      <w:numFmt w:val="decimal"/>
      <w:lvlText w:val="%4."/>
      <w:lvlJc w:val="left"/>
      <w:pPr>
        <w:ind w:left="2880" w:hanging="360"/>
      </w:pPr>
    </w:lvl>
    <w:lvl w:ilvl="4" w:tplc="17071542" w:tentative="1">
      <w:start w:val="1"/>
      <w:numFmt w:val="lowerLetter"/>
      <w:lvlText w:val="%5."/>
      <w:lvlJc w:val="left"/>
      <w:pPr>
        <w:ind w:left="3600" w:hanging="360"/>
      </w:pPr>
    </w:lvl>
    <w:lvl w:ilvl="5" w:tplc="17071542" w:tentative="1">
      <w:start w:val="1"/>
      <w:numFmt w:val="lowerRoman"/>
      <w:lvlText w:val="%6."/>
      <w:lvlJc w:val="right"/>
      <w:pPr>
        <w:ind w:left="4320" w:hanging="180"/>
      </w:pPr>
    </w:lvl>
    <w:lvl w:ilvl="6" w:tplc="17071542" w:tentative="1">
      <w:start w:val="1"/>
      <w:numFmt w:val="decimal"/>
      <w:lvlText w:val="%7."/>
      <w:lvlJc w:val="left"/>
      <w:pPr>
        <w:ind w:left="5040" w:hanging="360"/>
      </w:pPr>
    </w:lvl>
    <w:lvl w:ilvl="7" w:tplc="17071542" w:tentative="1">
      <w:start w:val="1"/>
      <w:numFmt w:val="lowerLetter"/>
      <w:lvlText w:val="%8."/>
      <w:lvlJc w:val="left"/>
      <w:pPr>
        <w:ind w:left="5760" w:hanging="360"/>
      </w:pPr>
    </w:lvl>
    <w:lvl w:ilvl="8" w:tplc="17071542" w:tentative="1">
      <w:start w:val="1"/>
      <w:numFmt w:val="lowerRoman"/>
      <w:lvlText w:val="%9."/>
      <w:lvlJc w:val="right"/>
      <w:pPr>
        <w:ind w:left="6480" w:hanging="180"/>
      </w:pPr>
    </w:lvl>
  </w:abstractNum>
  <w:abstractNum w:abstractNumId="83139078">
    <w:multiLevelType w:val="hybridMultilevel"/>
    <w:lvl w:ilvl="0" w:tplc="845933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139078">
    <w:abstractNumId w:val="83139078"/>
  </w:num>
  <w:num w:numId="83139079">
    <w:abstractNumId w:val="831390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